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Karlovac, 27. rujna 2023.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Rezultati odabira učenika za mobilnost u Austriju 19. 11. - 2. 12. 2023.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ŠUMARSKI TEHNIČAR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Odabrani učenici</w:t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vuk45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Borač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18.77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BEK10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17.87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CRV11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10404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17.31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Rezervna lista: </w:t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ANON1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15907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Lulek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14.25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Povjerenstvo: Nikola Janjanin, Đurđica Veček, Andreja Pevec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19" name="image3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1" name="image2.gif"/>
          <a:graphic>
            <a:graphicData uri="http://schemas.openxmlformats.org/drawingml/2006/picture">
              <pic:pic>
                <pic:nvPicPr>
                  <pic:cNvPr descr="Povratak na naslovnicu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0" name="image1.jpg"/>
          <a:graphic>
            <a:graphicData uri="http://schemas.openxmlformats.org/drawingml/2006/picture">
              <pic:pic>
                <pic:nvPicPr>
                  <pic:cNvPr descr="logo škole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-177799</wp:posOffset>
              </wp:positionV>
              <wp:extent cx="2369185" cy="8509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-177799</wp:posOffset>
              </wp:positionV>
              <wp:extent cx="2369185" cy="85090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9185" cy="850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gif"/><Relationship Id="rId3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DnWwPfqP9WALXkChNZoYPiGaIg==">CgMxLjA4AHIhMTh0SXRleW5FQUpvNmo2ZU1xWFJ5RVdLZG9ka0ZibHFC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