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D947T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motivacijsko pismo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opći uspjeh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vladanja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natjecanja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216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ukupan broj bodova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20,38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Psr55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3,50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17,5</w:t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VM236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16,50</w:t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</w:t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45KiL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2,63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13,63</w:t>
            </w:r>
          </w:p>
        </w:tc>
      </w:tr>
    </w:tbl>
    <w:p w:rsidR="00000000" w:rsidDel="00000000" w:rsidP="00000000" w:rsidRDefault="00000000" w:rsidRPr="00000000" w14:paraId="0000008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7L8T6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17,13</w:t>
            </w:r>
          </w:p>
        </w:tc>
      </w:tr>
    </w:tbl>
    <w:p w:rsidR="00000000" w:rsidDel="00000000" w:rsidP="00000000" w:rsidRDefault="00000000" w:rsidRPr="00000000" w14:paraId="000000B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23120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-natjecanja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20,44</w:t>
            </w:r>
          </w:p>
        </w:tc>
      </w:tr>
    </w:tbl>
    <w:p w:rsidR="00000000" w:rsidDel="00000000" w:rsidP="00000000" w:rsidRDefault="00000000" w:rsidRPr="00000000" w14:paraId="000000D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62915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4,78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22,78</w:t>
            </w:r>
          </w:p>
        </w:tc>
      </w:tr>
    </w:tbl>
    <w:p w:rsidR="00000000" w:rsidDel="00000000" w:rsidP="00000000" w:rsidRDefault="00000000" w:rsidRPr="00000000" w14:paraId="000000F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55555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11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27" name="image2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9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8" name="image3.jpg"/>
          <a:graphic>
            <a:graphicData uri="http://schemas.openxmlformats.org/drawingml/2006/picture">
              <pic:pic>
                <pic:nvPicPr>
                  <pic:cNvPr descr="logo škole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-177799</wp:posOffset>
              </wp:positionV>
              <wp:extent cx="2394585" cy="8763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-177799</wp:posOffset>
              </wp:positionV>
              <wp:extent cx="2394585" cy="876300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458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gif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31DmR/cN2uxDm6upYh7FKGq/bw==">CgMxLjA4AHIhMU93RTNFcUxfZTEwUUtKMkV6Tzl3YTR0Q182WERZV0Z5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